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Генетика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Генетика | Записей: 1 | Кейс: 2 | Вопросов: 12</w:t>
      </w:r>
    </w:p>
    <w:p>
      <w:r>
        <w:br w:type="page"/>
      </w:r>
    </w:p>
    <w:p>
      <w:pPr>
        <w:pStyle w:val="Heading1"/>
      </w:pPr>
      <w:r>
        <w:t>Генетика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2"/>
      </w:pPr>
      <w:r>
        <w:t>2. Ситуация</w:t>
      </w:r>
    </w:p>
    <w:p>
      <w:pPr>
        <w:spacing w:after="58"/>
      </w:pPr>
      <w:r>
        <w:rPr>
          <w:b w:val="0"/>
          <w:i w:val="0"/>
        </w:rPr>
        <w:t>Родители обратились к врачу-генетику по поводу уточнения диагноза у сына в возрасте 5 лет. На консультацию ребёнка направил участковый педиатр.</w:t>
      </w:r>
    </w:p>
    <w:p>
      <w:pPr>
        <w:pStyle w:val="Heading3"/>
      </w:pPr>
      <w:r>
        <w:t>2.1. Жалобы</w:t>
      </w:r>
    </w:p>
    <w:p>
      <w:pPr>
        <w:spacing w:after="58"/>
      </w:pPr>
      <w:r>
        <w:rPr>
          <w:b w:val="0"/>
          <w:i w:val="0"/>
        </w:rPr>
        <w:t>На задержку моторного и речевого развития.</w:t>
      </w:r>
    </w:p>
    <w:p>
      <w:pPr>
        <w:pStyle w:val="Heading3"/>
      </w:pPr>
      <w:r>
        <w:t>2.2. Анамнез заболевания</w:t>
      </w:r>
    </w:p>
    <w:p>
      <w:pPr>
        <w:spacing w:after="58"/>
      </w:pPr>
      <w:r>
        <w:rPr>
          <w:b w:val="0"/>
          <w:i w:val="0"/>
        </w:rPr>
        <w:t>Психо-речевое и моторное развитие с задержкой.</w:t>
      </w:r>
    </w:p>
    <w:p>
      <w:pPr>
        <w:spacing w:after="58"/>
      </w:pPr>
      <w:r>
        <w:rPr>
          <w:b w:val="0"/>
          <w:i w:val="0"/>
        </w:rPr>
        <w:t>Моторное развитие: голову держит с 2,5 мес., сидит с 10 мес. (после курса массажа), ползает с 11 мес., ходит самостоятельно с 2 лет.</w:t>
      </w:r>
    </w:p>
    <w:p>
      <w:pPr>
        <w:spacing w:after="58"/>
      </w:pPr>
      <w:r>
        <w:rPr>
          <w:b w:val="0"/>
          <w:i w:val="0"/>
        </w:rPr>
        <w:t>Психо-речевое развитие: первые слова в 2 года, с 3,5 лет фразовая речь.</w:t>
      </w:r>
    </w:p>
    <w:p>
      <w:pPr>
        <w:spacing w:after="58"/>
      </w:pPr>
      <w:r>
        <w:rPr>
          <w:b w:val="0"/>
          <w:i w:val="0"/>
        </w:rPr>
        <w:t>Знает родителей, просьбы выполняет не все.</w:t>
      </w:r>
    </w:p>
    <w:p>
      <w:pPr>
        <w:pStyle w:val="Heading3"/>
      </w:pPr>
      <w:r>
        <w:t>2.3. Анамнез жизни</w:t>
      </w:r>
    </w:p>
    <w:p>
      <w:pPr>
        <w:spacing w:after="58"/>
      </w:pPr>
      <w:r>
        <w:rPr>
          <w:b w:val="0"/>
          <w:i w:val="0"/>
        </w:rPr>
        <w:t>Ребенок от первой беременности, протекавшей физиологически. Родители молоды и здоровы: мать – 28лет, отец – 29 лет, в кровном родстве не состоят.</w:t>
      </w:r>
    </w:p>
    <w:p>
      <w:pPr>
        <w:spacing w:after="58"/>
      </w:pPr>
      <w:r>
        <w:rPr>
          <w:b w:val="0"/>
          <w:i w:val="0"/>
        </w:rPr>
        <w:t>Роды в срок, самостоятельные. Вес при рождении 3600г, рост – 51 см. Закричал сразу. Оценка по шкале Апгар 8/9 баллов. Выписаны домой в срок.</w:t>
      </w:r>
    </w:p>
    <w:p>
      <w:pPr>
        <w:spacing w:after="58"/>
      </w:pPr>
      <w:r>
        <w:rPr>
          <w:b w:val="0"/>
          <w:i w:val="0"/>
        </w:rPr>
        <w:t>Раннее развитие с задержкой.</w:t>
      </w:r>
    </w:p>
    <w:p>
      <w:pPr>
        <w:pStyle w:val="Heading3"/>
      </w:pPr>
      <w:r>
        <w:t>2.4. Объективный статус</w:t>
      </w:r>
    </w:p>
    <w:p>
      <w:pPr>
        <w:spacing w:after="58"/>
      </w:pPr>
      <w:r>
        <w:rPr>
          <w:b w:val="0"/>
          <w:i w:val="0"/>
        </w:rPr>
        <w:t>На приеме пробанд – мальчик, 5 лет. Рост на момент осмотра – 106 см (25-50 центиль), вес – 16 кг (10-25 центиль), окружность головы – 54 см (97 центиль).</w:t>
      </w:r>
    </w:p>
    <w:p>
      <w:r>
        <w:drawing>
          <wp:inline xmlns:a="http://schemas.openxmlformats.org/drawingml/2006/main" xmlns:pic="http://schemas.openxmlformats.org/drawingml/2006/picture">
            <wp:extent cx="5303520" cy="415515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3bade72810295e1155d5dfd6c98e3b9c8c05424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15515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 фотографии-1 в объективном статусе представлены такие фенотипические признаки как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асимметрия лица, выступающий лоб, широкая спинка носа, вывернутая нижняя губа, крипторхизм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узкое лицо, скошенный лоб, клювовидный нос, узкая нижняя губа, макроорхизм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диспропорция лицевой и мозговой части черепа, узкий лоб, аплазия спинки носа, выступающая верхняя губа, гипоспадия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плоское лицо, широкий лоб, выступающая переносица, расщелина губы, гипогонадизм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асимметрия лица, выступающий лоб, широкая спинка носа, вывернутая нижняя губа, крипторхизм</w:t>
      </w:r>
    </w:p>
    <w:p>
      <w:pPr>
        <w:ind w:left="504"/>
      </w:pPr>
      <w:r>
        <w:rPr>
          <w:b w:val="0"/>
          <w:i/>
        </w:rPr>
        <w:t>ТЕРМИНОЛОГИЧЕСКИЙ СЛОВАРЬ</w:t>
        <w:br/>
        <w:br/>
        <w:t>Козлова С.И., Демикова Н.С. НАСЛЕДСТВЕННЫЕ СИНДРОМЫ И МЕДИКО-ГЕНЕТИЧЕСКОЕ КОНСУЛЬТИРОВАНИЕ:Атлас-справочник.3-е изд., перераб. и дополн. М.: Т-во научных изданий КМК; Авторская академия. 2007. 448с., 236 ил.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фотографии-2 в объективном статусе обнаружено нарушение строения кистей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полидактилии и синдактилии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контрактур межфаланговых суставов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клинодактилии мизинцев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брахидактилии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контрактур межфаланговых суставов</w:t>
      </w:r>
    </w:p>
    <w:p>
      <w:pPr>
        <w:ind w:left="504"/>
      </w:pPr>
      <w:r>
        <w:rPr>
          <w:b w:val="0"/>
          <w:i/>
        </w:rPr>
        <w:t>ТЕРМИНОЛОГИЧЕСКИЙ СЛОВАРЬ</w:t>
        <w:br/>
        <w:br/>
        <w:t>Козлова С.И., Демикова Н.С. НАСЛЕДСТВЕННЫЕ СИНДРОМЫ И МЕДИКО-ГЕНЕТИЧЕСКОЕ КОНСУЛЬТИРОВАНИЕ:Атлас-справочник.3-е изд., перераб. и дополн. М.: Т-во научных изданий КМК; Авторская академия. 2007. 448с., 236 ил.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данные анамнеза, особенности фенотипа, наиболее вероятным предполагаемым диагнозом является заболевание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хромосомных синдромов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соединительно-тканных дисплазий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гипоксически-ишемических поражений ЦНС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наследственных болезней обмена веществ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хромосомных синдромов</w:t>
      </w:r>
    </w:p>
    <w:p>
      <w:pPr>
        <w:ind w:left="504"/>
      </w:pPr>
      <w:r>
        <w:rPr>
          <w:b w:val="0"/>
          <w:i/>
        </w:rPr>
        <w:t>С клинической точки зрения числовые нарушения аутосом характеризуются следующими основными признаками:</w:t>
        <w:br/>
        <w:br/>
        <w:t>* внутриутробная или постнатальная задержка роста;</w:t>
        <w:br/>
        <w:br/>
        <w:t>* комплекс дисморфических нарушений, особенно аномалий лица, дистальных отделов конечностей и половых органов;</w:t>
        <w:br/>
        <w:br/>
        <w:t>* врожденные пороки развития внутренних органов, чаще всего – множественные;</w:t>
        <w:br/>
        <w:br/>
        <w:t>* нарушения умственного развития.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22. стр. 568). ISBN 978-5-9704-2231-1</w:t>
      </w:r>
    </w:p>
    <w:p>
      <w:pPr>
        <w:pStyle w:val="Heading2"/>
      </w:pPr>
      <w:r>
        <w:t>2. Алгоритм молекулярно-генетического обследования (диагноза)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подтверждения диагноза в данном случае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лактата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тандемную масс-спектрометрию (анализ спектра ацилкарнитинов и аминокислот в сухом пятне крови)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кариотипа лимфоцитов периферической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кариотипа лимфоцитов периферической крови</w:t>
      </w:r>
    </w:p>
    <w:p>
      <w:pPr>
        <w:ind w:left="504"/>
      </w:pPr>
      <w:r>
        <w:rPr>
          <w:b w:val="0"/>
          <w:i/>
        </w:rPr>
        <w:t>Комментарий 1: Клинические показания для постнатального исследования конститутивного кариотипа (периферическая кровь, фибробласты)</w:t>
        <w:br/>
        <w:br/>
        <w:t>У пациента:</w:t>
        <w:br/>
        <w:br/>
        <w:t>* Множественные врожденные пороки развития</w:t>
        <w:br/>
        <w:br/>
        <w:t>* Множественные микроаномалии развития</w:t>
        <w:br/>
        <w:br/>
        <w:t>* Низкий вес при рождении</w:t>
        <w:br/>
        <w:br/>
        <w:t>* Умственная отсталость, отставание в психомоторном развитии</w:t>
        <w:br/>
        <w:br/>
        <w:t>* Выраженные отклонения в росте (низкий рост, высокий рост) и размерах головы (микроцефалия, макроцефалия)</w:t>
        <w:br/>
        <w:br/>
        <w:t>* Отставание в физическом и половом развитии</w:t>
        <w:br/>
        <w:br/>
        <w:t>Кузнецова Т.В., Шилова Н.В., Творогова М.Г., Харченко Т.В., Лебедев И.Н., Антоненко В.Г. Практические рекомендации по обеспечению качества и надежности цитогенетических исследований. Медицинская генетика 2019; 18(5): 3-27 (стр. 23).</w:t>
        <w:br/>
        <w:br/>
        <w:t>Комментарий 2: …основные показания для проведения цитогенетической диагностики………</w:t>
        <w:br/>
        <w:br/>
        <w:t>* Существование у ребёнка множественных врождённых пороков развития.</w:t>
        <w:br/>
        <w:br/>
        <w:t>* Задержка умственного и физического развития ребенка;</w:t>
        <w:br/>
        <w:br/>
        <w:t>* Подозрение на хромосомную болезнь на основании клинических симптомов.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- М. : ГЭОТАР-Медиа, 2012. - 936 с. (Глава 17, стр. 453). ISBN 978-5-9704-2231-1</w:t>
        <w:br/>
        <w:br/>
        <w:t>Комментарий 3: Использование стандартного метафазного анализа дифференциально окрашенных хромосом обеспечивает достаточно эффективную диагностику числовых аномалий хромосом и ряда структурных аберраций.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– М.: ГЭОТАР-Медиа. 2012.-936 с. (стр. 458-459)</w:t>
      </w:r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Анализ кариотипа лимфоцитов периферической крови</w:t>
      </w:r>
    </w:p>
    <w:p>
      <w:pPr>
        <w:spacing w:after="58"/>
      </w:pPr>
      <w:r>
        <w:rPr>
          <w:b w:val="0"/>
          <w:i w:val="0"/>
        </w:rPr>
        <w:t>mos 47,ХY,+8[4]/ 46,ХY[26]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Дополнительным методом для подтверждения диагноза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FISH-анализ с центромеро-специфичным ДНК-зондом на центромерную область 8 хромосомы на прямых препаратах лимфоцитов периферической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хромосомный микроматричный анализ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мультицветное сегментирование 8-хромосомы (mBAND)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экзомное секвенирование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FISH-анализ с центромеро-специфичным ДНК-зондом на центромерную область 8 хромосомы на прямых препаратах лимфоцитов периферической крови</w:t>
      </w:r>
    </w:p>
    <w:p>
      <w:pPr>
        <w:ind w:left="504"/>
      </w:pPr>
      <w:r>
        <w:rPr>
          <w:b w:val="0"/>
          <w:i/>
        </w:rPr>
        <w:t>Комментарии: Клиническим показанием для проведения исследования FISH- методом является:</w:t>
        <w:br/>
        <w:br/>
        <w:t>-- клинические признаки, позволяющие предположить мозаицизм по определенному хромосомному синдрому;</w:t>
        <w:br/>
        <w:br/>
        <w:t>-- подозрение на хромосомную аномалию при стандартном цитогенетическом исследовании.</w:t>
        <w:br/>
        <w:br/>
        <w:t>Результаты данных FISH-исследования на интерфазных ядрах (на прямых, некультивируемых клетках крови)дают информацию о количестве гибридизационных сигналов.</w:t>
        <w:br/>
        <w:br/>
        <w:t>Цитогенетические методы диагностики хромосомных болезней Методическое пособие для врачей. Е.К. Гинтер, Т.В. Золотухина, В.Г. Антоненко, Н.В. Шилова, Т.Г. Цветкова, Л.Ю. Жулева, с. 45, с. 59</w:t>
      </w:r>
    </w:p>
    <w:p>
      <w:pPr>
        <w:pStyle w:val="Heading2"/>
      </w:pPr>
      <w:r>
        <w:t>9. Результаты обследования</w:t>
      </w:r>
    </w:p>
    <w:p>
      <w:pPr>
        <w:pStyle w:val="Heading3"/>
      </w:pPr>
      <w:r>
        <w:t>9.1. FISH-анализ с центромеро-специфичным ДНК-зондом на центромерную область 8 хромосомы на прямых препаратах лимфоцитов периферической крови</w:t>
      </w:r>
    </w:p>
    <w:p>
      <w:pPr>
        <w:spacing w:after="58"/>
      </w:pPr>
      <w:r>
        <w:rPr>
          <w:b w:val="0"/>
          <w:i w:val="0"/>
        </w:rPr>
        <w:t>nuc ish ((CEP8)x3)[60]/((CEP8)x2)[140], т.е. при анализе интерфазных ядер (200) выявлен мозаицизм по хромосоме 8:</w:t>
      </w:r>
    </w:p>
    <w:p>
      <w:pPr>
        <w:spacing w:after="58"/>
      </w:pPr>
      <w:r>
        <w:rPr>
          <w:b w:val="0"/>
          <w:i w:val="0"/>
        </w:rPr>
        <w:t>в 30% ядер обнаружено по три копии центромерного района хромосомы 8 в каждом ядре, что может соответствовать кариотипу 47,ХY,+8;</w:t>
      </w:r>
    </w:p>
    <w:p>
      <w:pPr>
        <w:spacing w:after="58"/>
      </w:pPr>
      <w:r>
        <w:rPr>
          <w:b w:val="0"/>
          <w:i w:val="0"/>
        </w:rPr>
        <w:t>в 70% ядер обнаружено по две копии центромерного района хромосомы 8 в каждом ядре, что может соответствовать кариотипу 46,ХY.</w:t>
      </w:r>
    </w:p>
    <w:p>
      <w:pPr>
        <w:pStyle w:val="Heading2"/>
      </w:pPr>
      <w:r>
        <w:t>3.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Окончательным клиническим диагнозом в данной клинической ситуации является синдром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Лежена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Дауна, мозаичная форма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Ангельмана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Трисомии 8 хромосомы, мозаичная форма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Трисомии 8 хромосомы, мозаичная форма</w:t>
      </w:r>
    </w:p>
    <w:p>
      <w:pPr>
        <w:ind w:left="504"/>
      </w:pPr>
      <w:r>
        <w:rPr>
          <w:b w:val="0"/>
          <w:i/>
        </w:rPr>
        <w:t>Комментарии: При мозаичной форме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Gardner RJM, Sutherland GR. Chromosome Abnormalities and Genetic Counselling. Oxford University Press. 2011; 4: р. 31-33</w:t>
        <w:br/>
        <w:br/>
        <w:t>Бочков, Н.П. Наследственные болезни/ Н.П. Бочков, Е.К. Гинтер, В.П. Пузырев. - М.:ГЭОТАР Медиа, 2012. - с. 556</w:t>
      </w:r>
    </w:p>
    <w:p>
      <w:pPr>
        <w:pStyle w:val="Heading2"/>
      </w:pPr>
      <w:r>
        <w:t>11. Диагноз</w:t>
      </w:r>
    </w:p>
    <w:p>
      <w:pPr>
        <w:pStyle w:val="Heading3"/>
      </w:pPr>
      <w:r>
        <w:t>11.1. Трисомия 8 хромосомы, мозаичная форма</w:t>
      </w:r>
    </w:p>
    <w:p>
      <w:pPr>
        <w:pStyle w:val="Heading2"/>
      </w:pPr>
      <w:r>
        <w:t>4. Профилактика (медико-генетическое консультирование)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случае планирования супружеской парой дальнейшего деторождения, родителям пробанда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показано молекулярное кариотипирование (array-CGH)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необходимо назначить экзомное секвенирование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необходимо назначить исследование кариотипа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дополнительное обследование не показано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дополнительное обследование не показано</w:t>
      </w:r>
    </w:p>
    <w:p>
      <w:pPr>
        <w:ind w:left="504"/>
      </w:pPr>
      <w:r>
        <w:rPr>
          <w:b w:val="0"/>
          <w:i/>
        </w:rPr>
        <w:t>Комментарии: При мозаичной форме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У родителей в кариотипе нет никаких изменений, ситуация носит случайный характер.</w:t>
        <w:br/>
        <w:br/>
        <w:t>Gardner RJM, Sutherland GR. Chromosome Abnormalities and Genetic Counselling. Oxford University Press. 2011; 4: р. 31-33</w:t>
        <w:br/>
        <w:br/>
        <w:t>Бочков, Н.П. Наследственные болезни/ Н.П. Бочков, Е.К. Гинтер, В.П. Пузырев. - М.:ГЭОТАР Медиа, 2012. - с. 556</w:t>
      </w:r>
    </w:p>
    <w:p>
      <w:pPr>
        <w:pStyle w:val="Heading2"/>
      </w:pPr>
      <w:r>
        <w:t>13. Результаты обследования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Риск повторного рождения больного ребенка в семье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общепопуляционный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зависит от возраста матери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составляет 25 % независимо от пола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составляет 50% независимо от пола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общепопуляционный</w:t>
      </w:r>
    </w:p>
    <w:p>
      <w:pPr>
        <w:ind w:left="504"/>
      </w:pPr>
      <w:r>
        <w:rPr>
          <w:b w:val="0"/>
          <w:i/>
        </w:rPr>
        <w:t>Комментарии: При мозаичной форме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У родителей в кариотипе нет никаких изменений, ситуация носит случайный характер. Риск повторения общепопуляционный.</w:t>
        <w:br/>
        <w:br/>
        <w:t>Gardner RJM, Sutherland GR. Chromosome Abnormalities and Genetic Counselling. Oxford University Press. 2011; 4: р. 31-33</w:t>
        <w:br/>
        <w:br/>
        <w:t>Бочков, Н.П. Наследственные болезни/ Н.П. Бочков, Е.К. Гинтер, В.П. Пузырев. - М.:ГЭОТАР Медиа, 2012. - с. 556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 качестве профилактики риска повторного рождения больного ребенка в обследованной семье могут быть рекомендованы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инвазивная пренатальная диагностика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неинвазивный пренатальный тест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пренатальный скрининг беременных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вспомогательные репродуктивные технологии (экстракорпоральное оплодотворение с проведением преимплантационого тестирования на хромосомные аномалии)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пренатальный скрининг беременных</w:t>
      </w:r>
    </w:p>
    <w:p>
      <w:pPr>
        <w:ind w:left="504"/>
      </w:pPr>
      <w:r>
        <w:rPr>
          <w:b w:val="0"/>
          <w:i/>
        </w:rPr>
        <w:t>Комментарий 1: В дополнительных методах профилактики повторного рождения больного ребенка в данной семье нет, так как имеет место мозаичная форма хромосомной патологии, т.е. наблюдается два клона клеток – с трисомией и с нормальным кариотипом. Это состояние возникает после оплодотворения, на ранних стадиях эмбрионального развития.</w:t>
        <w:br/>
        <w:br/>
        <w:t>Gardner RJM, Sutherland GR. Chromosome Abnormalities and Genetic Counselling. Oxford University Press. 2011; 4: р. 31-33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– М.:ГЭОТАР-Медиа. 2012.-936 с. - с. 556</w:t>
        <w:br/>
        <w:br/>
        <w:t>Комментарий 2: Однако, при наступлении беременности каждой женщине необходимо пройти пренатальный скрининг беременных.</w:t>
        <w:br/>
        <w:br/>
        <w:t>Порядок оказания медицинской помощи по профилю «акушерство и гинекология (за исключением использования вспомогательных репродуктивных технологий)» (утв. приказом Министерства здравоохранения РФ от 1 ноября 2012 г. № 572н)</w:t>
      </w:r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данной клинической ситуации пациенту показана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симптоматическая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патогенетическая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генотерапия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этиотропная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симптоматическая терапия</w:t>
      </w:r>
    </w:p>
    <w:p>
      <w:pPr>
        <w:ind w:left="504"/>
      </w:pPr>
      <w:r>
        <w:rPr>
          <w:b w:val="0"/>
          <w:i/>
        </w:rPr>
        <w:t>Для многих форм наследственных заболеваний симптоматическое лечение – единственно возможное, позволяющее улучшить качество жизни пациентов.</w:t>
        <w:br/>
        <w:br/>
        <w:t>Наследственные болезни: национальное руководство / под ред. акад. РАМН Н.П. Бочкова, акад. РАМН Е.К. Гинтера, акад. РАМН В.П. Пузырева. – М.:ГЭОТАР-Медиа. 2012.-936 с. - с. 728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 целью назначения лечения пациенту необходимо рекомендовать консультацию врача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генетика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невролога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иммунолога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невролога</w:t>
      </w:r>
    </w:p>
    <w:p>
      <w:pPr>
        <w:ind w:left="504"/>
      </w:pPr>
      <w:r>
        <w:rPr>
          <w:b w:val="0"/>
          <w:i/>
        </w:rPr>
        <w:t>Комментарии: Согласно п.3.1.2 профессионального стандарта "Врач-невролог", утверждённому приказом Министерства труда и социально Российской Федерации от 29 января 2019 года N 51н, врач этой специальности имеет трудовую функцию - назначение лечения пациентам при заболеваниях нервной системы.</w:t>
        <w:br/>
        <w:br/>
      </w:r>
      <w:hyperlink r:id="rId10">
        <w:r>
          <w:rPr>
            <w:color w:val="0F766E"/>
            <w:u w:val="single"/>
          </w:rPr>
          <w:t>http://fgosvo.ru/uploadfiles/profstandart/02.046.pdf</w:t>
        </w:r>
      </w:hyperlink>
    </w:p>
    <w:p>
      <w:pPr>
        <w:pStyle w:val="Heading2"/>
      </w:pPr>
      <w:r>
        <w:t>6.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Основным механизмом формирования мозаичной формы трисомии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разрывы сахаро-фосфатных связей в молекуле ДНК и аномальная ее репарация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постзиготическое нерасхождение гомологичных хромосом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слияние диплоидной и гаплоидной гамет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нерасхождение гомологичных хромосом в 1-ом делении мейоза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постзиготическое нерасхождение гомологичных хромосом</w:t>
      </w:r>
    </w:p>
    <w:p>
      <w:pPr>
        <w:ind w:left="504"/>
      </w:pPr>
      <w:r>
        <w:rPr>
          <w:b w:val="0"/>
          <w:i/>
        </w:rPr>
        <w:t>Комментарии:</w:t>
        <w:br/>
        <w:br/>
        <w:t>Все события происходят после оплодотворения изначально с правильной плоидностью гамет. При митотическом делении происходит нерасхождение хромосом. Показано на примере трисомии 21.</w:t>
        <w:br/>
        <w:br/>
        <w:t>{nbsp}</w:t>
        <w:br/>
        <w:br/>
        <w:t>Gardner RJM, Sutherland GR. Chromosome Abnormalities and Genetic Counselling. Oxford University Press. 2011; 4: 41-42.</w:t>
      </w:r>
    </w:p>
    <w:p>
      <w:r>
        <w:drawing>
          <wp:inline xmlns:a="http://schemas.openxmlformats.org/drawingml/2006/main" xmlns:pic="http://schemas.openxmlformats.org/drawingml/2006/picture">
            <wp:extent cx="5303520" cy="10298097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b282e6871c5527eb3ace99c74635dc17f2608900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1029809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В12.JPG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Relationship Id="rId10" Type="http://schemas.openxmlformats.org/officeDocument/2006/relationships/hyperlink" Target="http://fgosvo.ru/uploadfiles/profstandart/02.046.pdf" TargetMode="External"/><Relationship Id="rId1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